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  <w:t xml:space="preserve">Диапазоны значений полной стоимости кредита: от от 3,362% до 5,498%.</w:t>
      </w:r>
      <w:r/>
    </w:p>
    <w:p>
      <w:pPr>
        <w:rPr>
          <w14:ligatures w14:val="none"/>
        </w:rPr>
      </w:pPr>
      <w:r>
        <w:rPr>
          <w14:ligatures w14:val="none"/>
        </w:rPr>
        <w:t xml:space="preserve">Ставка 5,99% годовых устанавливается по ипотечному кредитному договору, заключенному не позднее 31.12.2030, соответствующему требованиям Решения Минфина России N 24-67381-01460-Р (далее - кредит), на весь срок кредита, при условии, что у гражданина РФ, есть</w:t>
      </w:r>
      <w:r>
        <w:rPr>
          <w14:ligatures w14:val="none"/>
        </w:rPr>
        <w:t xml:space="preserve">: (А) ребенок, гражданин РФ, младше 7 лет на дату заключения кредитного договора; или (Б)  ребенок, гражданин РФ, которому установлена категория «ребенок-инвалид» или (В) несколько детей, граждан РФ, младше 18 лет на дату заключения кредитного договора. Кре</w:t>
      </w:r>
      <w:r>
        <w:rPr>
          <w14:ligatures w14:val="none"/>
        </w:rPr>
        <w:t xml:space="preserve">дит предоставляется на цели приобретения  квартиры по договору участия в долевом строительстве (далее — ДДУ) у Общество с ограниченной ответственностью Специализированный застройщик «СтроиТЭК-Парк) ИНН Застройщика: 0274960549 (далее – Застройщик), при налич</w:t>
      </w:r>
      <w:r>
        <w:rPr>
          <w14:ligatures w14:val="none"/>
        </w:rPr>
        <w:t xml:space="preserve">ии действующего договора между Банком и застройщиком  о компенсации Застройщиком Банку недополученных доходов (далее — Недополученные доходы) и получении Банком от Застройщика информации (в отношении заемщика, с которым предполагается заключение кредитного </w:t>
      </w:r>
      <w:r>
        <w:rPr>
          <w14:ligatures w14:val="none"/>
        </w:rPr>
        <w:t xml:space="preserve">договора) о компенсации Недополученных доходов в размере 11,99% от суммы кредита. При неполучении от Застройщика Недополученных доходов в течение 120 календарных дней процентная ставка - 6% годовых. При отсутствии личного страхования заемщика процентная ста</w:t>
      </w:r>
      <w:r>
        <w:rPr>
          <w14:ligatures w14:val="none"/>
        </w:rPr>
        <w:t xml:space="preserve">вка увеличивается на 1,0 п.п. относительно указанных выше процентных ставок на условиях кредитного договора. Первоначальный взнос: от 20,01%. Сумма кредита: от 500 тыс. руб.  до 6 млн руб. включ., до 12 млн руб. включ., если недвижимость - в Москве, Московс</w:t>
      </w:r>
      <w:r>
        <w:rPr>
          <w14:ligatures w14:val="none"/>
        </w:rPr>
        <w:t xml:space="preserve">кой обл., Санкт-Петербурге, Ленинградской обл. Срок кредита: от 3 до 30 лет. Заемщики: не более 4 чел., граждане РФ, в возрасте от 21 года до 75 лет (вкл.) (на момент полного погашения кредита). Погашение: ежемесячными равными платежами. Обеспечение: залог </w:t>
      </w:r>
      <w:r>
        <w:rPr>
          <w14:ligatures w14:val="none"/>
        </w:rPr>
        <w:t xml:space="preserve">прав требований по ДДУ (на этапе строительства), залог приобретаемой недвижимости с оформлением закладной. Расходы: премия по договорам страхования, проведение оценки залога, регистрационные действия, расчеты с контрагентом, иные расходы в связи с приобрете</w:t>
      </w:r>
      <w:r>
        <w:rPr>
          <w14:ligatures w14:val="none"/>
        </w:rPr>
        <w:t xml:space="preserve">нием недвижимости и оформлением ипотеки. С 1-го числа календарного месяца, следующего за месяцем, в котором Банк узнал, что заемщик является (являлся) заемщиком (солидарным заемщиком или поручителем) по иному кредитному договору, заключенному с 23.12.2023 (</w:t>
      </w:r>
      <w:r>
        <w:rPr>
          <w14:ligatures w14:val="none"/>
        </w:rPr>
        <w:t xml:space="preserve">далее – Сторонний договор), по которому кредитор получает (получал) возмещение недополученных доходов по постановлениям Правительства РФ от 23.04.2020 № 566, от 30.12.2017 № 1711, от 31.12.2022 № 2565, от 30.04.2022 № 805, от 30.11.2019 № 1567, от 07.12.201</w:t>
      </w:r>
      <w:r>
        <w:rPr>
          <w14:ligatures w14:val="none"/>
        </w:rPr>
        <w:t xml:space="preserve">9 № 1609, Решениям Минфина России N 22-67374-00473-Р, N 24-67381-01460-Р, N 24-68903-01277-Р, N 23-67393-01016-Р, ставка определяется как ключевая ставка Банка России на дату заключения кредитного договора, увеличенная на 2,0 п.п. Это условие не применяется</w:t>
      </w:r>
      <w:r>
        <w:rPr>
          <w14:ligatures w14:val="none"/>
        </w:rPr>
        <w:t xml:space="preserve">, если у заемщика Банка, являющегося также заемщиком (солидарным заемщика и (или) поручителем) по Стороннему договору, родился ребенок после даты заключения Стороннего договора и полного погашения кредита (займа) по Стороннему договору.</w:t>
      </w:r>
      <w:r/>
    </w:p>
    <w:p>
      <w:pPr>
        <w:rPr>
          <w14:ligatures w14:val="none"/>
        </w:rPr>
      </w:pPr>
      <w:r>
        <w:rPr>
          <w14:ligatures w14:val="none"/>
        </w:rPr>
        <w:t xml:space="preserve">АО «Банк ДОМ.РФ», универсальная лицензия Банка России № 2312 от 19.12.2018. Условия кредитования - на сайте domrfbank.ru. Информация актуальна по состоянию на 29.11.2024. Предложение носит информационный характер и не является публичной офертой. </w:t>
      </w:r>
      <w:r/>
    </w:p>
    <w:p>
      <w:pPr>
        <w:rPr>
          <w14:ligatures w14:val="none"/>
        </w:rPr>
      </w:pPr>
      <w:r>
        <w:rPr>
          <w14:ligatures w14:val="none"/>
        </w:rPr>
        <w:t xml:space="preserve">Застройщики ООО СЗ «ГРАНД АВЕНЮ», ООО СЗ «Остров», ООО СЗ «Урбаника 3», ООО СЗ «Инновация». Проектные декларации на сайте: наш.дом.рф.</w:t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Первый Трест</cp:lastModifiedBy>
  <cp:revision>2</cp:revision>
  <dcterms:modified xsi:type="dcterms:W3CDTF">2024-12-16T11:46:46Z</dcterms:modified>
</cp:coreProperties>
</file>