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27"/>
          <w:szCs w:val="27"/>
          <w:rtl w:val="0"/>
        </w:rPr>
        <w:t xml:space="preserve">Застройщики: АО СЗ «Атлантис», АО СЗ «Атмосфера», АО СЗ «Урбаника 4», АО СЗ «Гранд авеню», АО СЗ «Зеленый двор», АО СЗ «Остров». Скидка 2% при покупке новой квартиры по системе trade-in, информация актуальна на 28.09.2026. Перечень объектов и условия уточняйте в отделе продаж. Проектные декларации на сайте: https://наш.дом.рф. Предложение ограничено. Не оферта.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